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</w:t>
      </w:r>
      <w:bookmarkStart w:id="0" w:name="_GoBack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R4-2305931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highlight w:val="none"/>
          <w:lang w:eastAsia="zh-CN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  <w:highlight w:val="none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WF</w:t>
      </w:r>
      <w:r>
        <w:rPr>
          <w:rFonts w:hint="eastAsia" w:ascii="Arial" w:hAnsi="Arial" w:cs="Arial"/>
          <w:sz w:val="22"/>
          <w:highlight w:val="none"/>
          <w:lang w:eastAsia="zh-CN"/>
        </w:rPr>
        <w:t> on system parameters and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b/>
          <w:sz w:val="22"/>
          <w:highlight w:val="none"/>
          <w:lang w:val="en-US" w:eastAsia="zh-CN"/>
        </w:rPr>
        <w:t xml:space="preserve">      </w:t>
      </w:r>
      <w:r>
        <w:rPr>
          <w:rFonts w:ascii="Arial" w:hAnsi="Arial" w:cs="Arial"/>
          <w:sz w:val="22"/>
          <w:highlight w:val="none"/>
          <w:lang w:eastAsia="zh-CN"/>
        </w:rPr>
        <w:t>5.29.7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>
      <w:pPr>
        <w:pStyle w:val="2"/>
        <w:rPr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Agreement for GTW discussion</w:t>
      </w:r>
    </w:p>
    <w:p>
      <w:pPr>
        <w:rPr>
          <w:b/>
          <w:bCs/>
          <w:iCs/>
          <w:highlight w:val="none"/>
          <w:u w:val="single"/>
          <w:lang w:val="en-US" w:eastAsia="zh-CN"/>
        </w:rPr>
      </w:pPr>
      <w:r>
        <w:rPr>
          <w:rFonts w:hint="eastAsia"/>
          <w:b/>
          <w:bCs/>
          <w:iCs/>
          <w:highlight w:val="none"/>
          <w:u w:val="singl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u w:val="single"/>
          <w:lang w:val="en-US" w:eastAsia="zh-CN"/>
        </w:rPr>
        <w:t>1-1</w:t>
      </w:r>
      <w:r>
        <w:rPr>
          <w:rFonts w:hint="eastAsia"/>
          <w:b/>
          <w:bCs/>
          <w:iCs/>
          <w:highlight w:val="none"/>
          <w:u w:val="singl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u w:val="single"/>
          <w:lang w:val="en-US" w:eastAsia="zh-CN"/>
        </w:rPr>
        <w:t>System parameter for NCR-MT</w:t>
      </w:r>
    </w:p>
    <w:p>
      <w:pPr>
        <w:pStyle w:val="87"/>
        <w:numPr>
          <w:ilvl w:val="0"/>
          <w:numId w:val="2"/>
        </w:numPr>
        <w:spacing w:line="259" w:lineRule="auto"/>
        <w:ind w:left="936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  <w:lang w:val="en-GB"/>
        </w:rPr>
      </w:pPr>
      <w:r>
        <w:rPr>
          <w:rFonts w:hint="eastAsia"/>
          <w:highlight w:val="none"/>
        </w:rPr>
        <w:t>For the system parameter of NCR-MT, refer to the UE specification (TS38.101-1/2)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rFonts w:hint="eastAsia"/>
          <w:highlight w:val="none"/>
        </w:rPr>
        <w:t>Take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IAB-MT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approach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as</w:t>
      </w:r>
      <w:r>
        <w:rPr>
          <w:highlight w:val="none"/>
        </w:rPr>
        <w:t xml:space="preserve"> starting point i.e. </w:t>
      </w:r>
      <w:r>
        <w:rPr>
          <w:rFonts w:hint="eastAsia"/>
          <w:highlight w:val="none"/>
        </w:rPr>
        <w:t>to set the channel bandwidth per operating band to be optional for NCR-MT</w:t>
      </w:r>
    </w:p>
    <w:p>
      <w:pPr>
        <w:overflowPunct/>
        <w:autoSpaceDE/>
        <w:autoSpaceDN/>
        <w:adjustRightInd/>
        <w:spacing w:after="120"/>
        <w:textAlignment w:val="auto"/>
        <w:rPr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highlight w:val="none"/>
          <w:u w:val="single"/>
          <w:lang w:val="en-US"/>
        </w:rPr>
      </w:pPr>
      <w:r>
        <w:rPr>
          <w:rFonts w:hint="eastAsia"/>
          <w:b/>
          <w:bCs/>
          <w:iCs/>
          <w:highlight w:val="none"/>
          <w:u w:val="single"/>
          <w:lang w:val="en-US"/>
        </w:rPr>
        <w:t>Issue 1-2: NCR-MT feature list</w:t>
      </w:r>
    </w:p>
    <w:p>
      <w:pPr>
        <w:pStyle w:val="87"/>
        <w:numPr>
          <w:ilvl w:val="0"/>
          <w:numId w:val="2"/>
        </w:numPr>
        <w:spacing w:line="259" w:lineRule="auto"/>
        <w:ind w:left="936"/>
        <w:rPr>
          <w:highlight w:val="none"/>
        </w:rPr>
      </w:pPr>
      <w:r>
        <w:rPr>
          <w:highlight w:val="none"/>
        </w:rP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ind w:left="1656"/>
        <w:rPr>
          <w:highlight w:val="none"/>
        </w:rPr>
      </w:pPr>
      <w:r>
        <w:rPr>
          <w:highlight w:val="none"/>
        </w:rPr>
        <w:t>Further discuss NCR-MT feature list, FFS whether feature list required or not for NCR-fwd from RAN4 perspective</w:t>
      </w:r>
    </w:p>
    <w:p>
      <w:pPr>
        <w:pStyle w:val="87"/>
        <w:numPr>
          <w:ilvl w:val="1"/>
          <w:numId w:val="2"/>
        </w:numPr>
        <w:spacing w:line="259" w:lineRule="auto"/>
        <w:ind w:left="1656"/>
        <w:rPr>
          <w:highlight w:val="none"/>
        </w:rPr>
      </w:pPr>
      <w:r>
        <w:rPr>
          <w:rFonts w:hint="eastAsia"/>
          <w:highlight w:val="none"/>
        </w:rPr>
        <w:t xml:space="preserve">Proposal 1: to focus on the mandatory UE capability firstly and to check whether this is still applicable for NCR-MT and identify some features which are not applicable for NCR-MT; </w:t>
      </w:r>
      <w:r>
        <w:rPr>
          <w:highlight w:val="none"/>
        </w:rPr>
        <w:t>[</w:t>
      </w:r>
      <w:r>
        <w:rPr>
          <w:rFonts w:hint="eastAsia"/>
          <w:highlight w:val="none"/>
        </w:rPr>
        <w:t>for the rest of UE features, it should be optional for NCR-MT</w:t>
      </w:r>
      <w:r>
        <w:rPr>
          <w:highlight w:val="none"/>
        </w:rPr>
        <w:t>]</w:t>
      </w:r>
      <w:r>
        <w:rPr>
          <w:rFonts w:hint="eastAsia"/>
          <w:highlight w:val="none"/>
        </w:rPr>
        <w:t xml:space="preserve">.   </w:t>
      </w:r>
    </w:p>
    <w:p>
      <w:pPr>
        <w:rPr>
          <w:b/>
          <w:bCs/>
          <w:iCs/>
          <w:highlight w:val="none"/>
          <w:u w:val="single"/>
          <w:lang w:val="en-US"/>
        </w:rPr>
      </w:pPr>
      <w:r>
        <w:rPr>
          <w:rFonts w:hint="eastAsia"/>
          <w:b/>
          <w:bCs/>
          <w:iCs/>
          <w:highlight w:val="none"/>
          <w:u w:val="single"/>
          <w:lang w:val="en-US"/>
        </w:rPr>
        <w:t>Issue 1-3-1: NCR Class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  <w:lang w:val="en-GB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656"/>
        <w:rPr>
          <w:highlight w:val="none"/>
        </w:rPr>
      </w:pPr>
      <w:r>
        <w:rPr>
          <w:highlight w:val="none"/>
        </w:rPr>
        <w:t xml:space="preserve">For NCR-fwd, following NCR classes introduced </w:t>
      </w:r>
    </w:p>
    <w:p>
      <w:pPr>
        <w:pStyle w:val="87"/>
        <w:numPr>
          <w:ilvl w:val="2"/>
          <w:numId w:val="2"/>
        </w:numPr>
        <w:spacing w:line="259" w:lineRule="auto"/>
        <w:ind w:left="2376"/>
        <w:rPr>
          <w:highlight w:val="none"/>
          <w:lang w:val="en-GB"/>
        </w:rPr>
      </w:pPr>
      <w:r>
        <w:rPr>
          <w:highlight w:val="none"/>
        </w:rPr>
        <w:t xml:space="preserve">DL/UE side: </w:t>
      </w:r>
      <w:r>
        <w:rPr>
          <w:rFonts w:hint="eastAsia"/>
          <w:highlight w:val="none"/>
        </w:rPr>
        <w:t>wide-area</w:t>
      </w:r>
      <w:r>
        <w:rPr>
          <w:highlight w:val="none"/>
        </w:rPr>
        <w:t xml:space="preserve">, </w:t>
      </w:r>
      <w:r>
        <w:rPr>
          <w:rFonts w:hint="eastAsia"/>
          <w:highlight w:val="none"/>
        </w:rPr>
        <w:t xml:space="preserve">medium </w:t>
      </w:r>
      <w:r>
        <w:rPr>
          <w:highlight w:val="none"/>
        </w:rPr>
        <w:t>range and</w:t>
      </w:r>
      <w:r>
        <w:rPr>
          <w:rFonts w:hint="eastAsia"/>
          <w:highlight w:val="none"/>
        </w:rPr>
        <w:t xml:space="preserve"> local area </w:t>
      </w:r>
    </w:p>
    <w:p>
      <w:pPr>
        <w:pStyle w:val="87"/>
        <w:numPr>
          <w:ilvl w:val="2"/>
          <w:numId w:val="2"/>
        </w:numPr>
        <w:spacing w:line="259" w:lineRule="auto"/>
        <w:ind w:left="2376"/>
        <w:rPr>
          <w:highlight w:val="none"/>
        </w:rPr>
      </w:pPr>
      <w:r>
        <w:rPr>
          <w:highlight w:val="none"/>
        </w:rPr>
        <w:t>UL/BS side: Wide-area and local area</w:t>
      </w:r>
    </w:p>
    <w:p>
      <w:pPr>
        <w:pStyle w:val="87"/>
        <w:numPr>
          <w:ilvl w:val="2"/>
          <w:numId w:val="2"/>
        </w:numPr>
        <w:spacing w:line="259" w:lineRule="auto"/>
        <w:ind w:left="2376"/>
        <w:rPr>
          <w:highlight w:val="none"/>
        </w:rPr>
      </w:pPr>
      <w:r>
        <w:rPr>
          <w:highlight w:val="none"/>
        </w:rPr>
        <w:t>Above NCR classes applicable for all NCR types</w:t>
      </w:r>
    </w:p>
    <w:p>
      <w:pPr>
        <w:pStyle w:val="87"/>
        <w:numPr>
          <w:ilvl w:val="1"/>
          <w:numId w:val="2"/>
        </w:numPr>
        <w:spacing w:line="259" w:lineRule="auto"/>
        <w:ind w:left="1656"/>
        <w:rPr>
          <w:highlight w:val="none"/>
        </w:rPr>
      </w:pPr>
      <w:r>
        <w:rPr>
          <w:highlight w:val="none"/>
        </w:rPr>
        <w:t>NCR classes for NCR-MT</w:t>
      </w:r>
    </w:p>
    <w:p>
      <w:pPr>
        <w:pStyle w:val="87"/>
        <w:numPr>
          <w:ilvl w:val="2"/>
          <w:numId w:val="2"/>
        </w:numPr>
        <w:spacing w:line="259" w:lineRule="auto"/>
        <w:ind w:left="2376"/>
        <w:rPr>
          <w:highlight w:val="none"/>
        </w:rPr>
      </w:pPr>
      <w:r>
        <w:rPr>
          <w:highlight w:val="none"/>
        </w:rPr>
        <w:t>[Wide-area and local area]</w:t>
      </w:r>
    </w:p>
    <w:p>
      <w:pPr>
        <w:pStyle w:val="87"/>
        <w:numPr>
          <w:ilvl w:val="1"/>
          <w:numId w:val="2"/>
        </w:numPr>
        <w:overflowPunct w:val="0"/>
        <w:autoSpaceDE w:val="0"/>
        <w:autoSpaceDN w:val="0"/>
        <w:adjustRightInd w:val="0"/>
        <w:spacing w:line="259" w:lineRule="auto"/>
        <w:ind w:left="1656"/>
        <w:textAlignment w:val="baseline"/>
        <w:rPr>
          <w:highlight w:val="none"/>
        </w:rPr>
      </w:pPr>
      <w:r>
        <w:rPr>
          <w:highlight w:val="none"/>
        </w:rPr>
        <w:t>FFS whether NCR class can be declared separately for NCR-fwd, and NCR-MT</w:t>
      </w:r>
    </w:p>
    <w:p>
      <w:pPr>
        <w:rPr>
          <w:b/>
          <w:bCs/>
          <w:iCs/>
          <w:highlight w:val="none"/>
          <w:u w:val="single"/>
          <w:lang w:val="en-US"/>
        </w:rPr>
      </w:pPr>
      <w:r>
        <w:rPr>
          <w:rFonts w:hint="eastAsia"/>
          <w:b/>
          <w:bCs/>
          <w:iCs/>
          <w:highlight w:val="none"/>
          <w:u w:val="single"/>
          <w:lang w:val="en-US"/>
        </w:rPr>
        <w:t>Issue 1-3-3: RF diagram for NCR</w:t>
      </w:r>
    </w:p>
    <w:p>
      <w:pPr>
        <w:pStyle w:val="87"/>
        <w:numPr>
          <w:ilvl w:val="0"/>
          <w:numId w:val="2"/>
        </w:numPr>
        <w:spacing w:line="259" w:lineRule="auto"/>
        <w:ind w:left="936"/>
        <w:rPr>
          <w:highlight w:val="none"/>
        </w:rPr>
      </w:pPr>
      <w:r>
        <w:rPr>
          <w:highlight w:val="none"/>
        </w:rPr>
        <w:t>Agreement: Option 2</w:t>
      </w:r>
      <w:r>
        <w:rPr>
          <w:rFonts w:hint="eastAsia"/>
          <w:highlight w:val="none"/>
          <w:lang w:val="en-US" w:eastAsia="zh-CN"/>
        </w:rPr>
        <w:t xml:space="preserve"> [CATT]</w:t>
      </w:r>
      <w:r>
        <w:rPr>
          <w:highlight w:val="none"/>
        </w:rPr>
        <w:t xml:space="preserve"> as starting points, further work on the refinement. </w:t>
      </w:r>
    </w:p>
    <w:p>
      <w:pPr>
        <w:rPr>
          <w:b/>
          <w:bCs/>
          <w:iCs/>
          <w:highlight w:val="none"/>
          <w:u w:val="single"/>
          <w:lang w:val="en-US"/>
        </w:rPr>
      </w:pPr>
      <w:r>
        <w:rPr>
          <w:b/>
          <w:bCs/>
          <w:iCs/>
          <w:highlight w:val="none"/>
          <w:u w:val="singl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u w:val="single"/>
          <w:lang w:val="en-US"/>
        </w:rPr>
        <w:t>2</w:t>
      </w:r>
      <w:r>
        <w:rPr>
          <w:b/>
          <w:bCs/>
          <w:iCs/>
          <w:highlight w:val="none"/>
          <w:u w:val="single"/>
          <w:lang w:val="en-US"/>
        </w:rPr>
        <w:t>-</w:t>
      </w:r>
      <w:r>
        <w:rPr>
          <w:rFonts w:hint="eastAsia"/>
          <w:b/>
          <w:bCs/>
          <w:iCs/>
          <w:highlight w:val="none"/>
          <w:u w:val="single"/>
          <w:lang w:val="en-US"/>
        </w:rPr>
        <w:t>1</w:t>
      </w:r>
      <w:r>
        <w:rPr>
          <w:b/>
          <w:bCs/>
          <w:iCs/>
          <w:highlight w:val="none"/>
          <w:u w:val="single"/>
          <w:lang w:val="en-US"/>
        </w:rPr>
        <w:t>:</w:t>
      </w:r>
      <w:r>
        <w:rPr>
          <w:rFonts w:hint="eastAsia"/>
          <w:b/>
          <w:bCs/>
          <w:iCs/>
          <w:highlight w:val="none"/>
          <w:u w:val="single"/>
          <w:lang w:val="en-US"/>
        </w:rPr>
        <w:t xml:space="preserve"> Power control for NCR-Fwd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70C0"/>
          <w:szCs w:val="24"/>
          <w:highlight w:val="none"/>
          <w:lang w:val="en-US" w:eastAsia="zh-CN"/>
        </w:rPr>
      </w:pPr>
      <w:r>
        <w:rPr>
          <w:highlight w:val="none"/>
        </w:rPr>
        <w:t xml:space="preserve">. </w:t>
      </w:r>
      <w:r>
        <w:rPr>
          <w:rFonts w:eastAsia="宋体"/>
          <w:color w:val="0070C0"/>
          <w:szCs w:val="24"/>
          <w:highlight w:val="none"/>
          <w:lang w:eastAsia="zh-CN"/>
        </w:rPr>
        <w:t>Proposals</w:t>
      </w:r>
    </w:p>
    <w:p>
      <w:pPr>
        <w:pStyle w:val="8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highlight w:val="none"/>
        </w:rPr>
      </w:pPr>
      <w:r>
        <w:rPr>
          <w:rFonts w:hint="eastAsia" w:eastAsia="宋体"/>
          <w:color w:val="0070C0"/>
          <w:szCs w:val="24"/>
          <w:highlight w:val="none"/>
          <w:lang w:eastAsia="zh-CN"/>
        </w:rPr>
        <w:t xml:space="preserve">Proposal 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1</w:t>
      </w:r>
      <w:r>
        <w:rPr>
          <w:rFonts w:hint="eastAsia" w:eastAsia="宋体"/>
          <w:color w:val="0070C0"/>
          <w:szCs w:val="24"/>
          <w:highlight w:val="none"/>
          <w:lang w:eastAsia="zh-CN"/>
        </w:rPr>
        <w:t>: there is no need for power control requirements for NCR fwd-link.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 [CMCC,</w:t>
      </w:r>
      <w:r>
        <w:rPr>
          <w:rFonts w:hint="eastAsia" w:eastAsia="宋体"/>
          <w:color w:val="0070C0"/>
          <w:szCs w:val="24"/>
          <w:highlight w:val="none"/>
        </w:rPr>
        <w:t>R4-2304201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]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 xml:space="preserve"> Agreement: Proposal 1 agreed. </w:t>
      </w:r>
    </w:p>
    <w:p>
      <w:pPr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b/>
          <w:bCs/>
          <w:iCs/>
          <w:highlight w:val="none"/>
          <w:u w:val="singl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u w:val="single"/>
          <w:lang w:val="en-US"/>
        </w:rPr>
        <w:t>2</w:t>
      </w:r>
      <w:r>
        <w:rPr>
          <w:b/>
          <w:bCs/>
          <w:iCs/>
          <w:highlight w:val="none"/>
          <w:u w:val="single"/>
          <w:lang w:val="en-US"/>
        </w:rPr>
        <w:t>-</w:t>
      </w:r>
      <w:r>
        <w:rPr>
          <w:rFonts w:hint="eastAsia"/>
          <w:b/>
          <w:bCs/>
          <w:iCs/>
          <w:highlight w:val="none"/>
          <w:u w:val="single"/>
          <w:lang w:val="en-US"/>
        </w:rPr>
        <w:t>2</w:t>
      </w:r>
      <w:r>
        <w:rPr>
          <w:b/>
          <w:bCs/>
          <w:iCs/>
          <w:highlight w:val="none"/>
          <w:u w:val="singl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u w:val="single"/>
          <w:lang w:val="en-US"/>
        </w:rPr>
        <w:t>RF requirements for NCR-Fwd type 1-C</w:t>
      </w:r>
    </w:p>
    <w:p>
      <w:pPr>
        <w:pStyle w:val="87"/>
        <w:numPr>
          <w:ilvl w:val="-1"/>
          <w:numId w:val="0"/>
        </w:numPr>
        <w:overflowPunct/>
        <w:autoSpaceDE/>
        <w:autoSpaceDN/>
        <w:adjustRightInd/>
        <w:spacing w:after="120" w:line="260" w:lineRule="auto"/>
        <w:ind w:left="0" w:firstLine="0" w:firstLineChars="0"/>
        <w:textAlignment w:val="auto"/>
        <w:rPr>
          <w:rFonts w:eastAsia="宋体"/>
          <w:color w:val="0070C0"/>
          <w:szCs w:val="24"/>
          <w:highlight w:val="none"/>
          <w:lang w:val="en-US" w:eastAsia="zh-CN"/>
        </w:rPr>
      </w:pPr>
      <w:r>
        <w:rPr>
          <w:rFonts w:eastAsia="宋体"/>
          <w:color w:val="0070C0"/>
          <w:szCs w:val="24"/>
          <w:highlight w:val="none"/>
          <w:lang w:eastAsia="zh-CN"/>
        </w:rPr>
        <w:t>Proposals</w:t>
      </w:r>
    </w:p>
    <w:p>
      <w:pPr>
        <w:pStyle w:val="8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Proposal 1: The conducted requirement for repeater 1-C specified in sub-clause 6 of TS 38.106 can be reused for NCR type 1-C Fwd.  [CATT,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"https://www.3gpp.org/ftp/TSG_RAN/WG4_Radio/TSGR4_106bis-e/Docs/R4-2304445.zip" </w:instrText>
      </w:r>
      <w:r>
        <w:rPr>
          <w:highlight w:val="none"/>
        </w:rPr>
        <w:fldChar w:fldCharType="separate"/>
      </w:r>
      <w:r>
        <w:rPr>
          <w:rFonts w:eastAsia="宋体"/>
          <w:color w:val="0070C0"/>
          <w:szCs w:val="24"/>
          <w:highlight w:val="none"/>
          <w:lang w:val="en-US" w:eastAsia="zh-CN"/>
        </w:rPr>
        <w:t>R4-2304445</w:t>
      </w:r>
      <w:r>
        <w:rPr>
          <w:rFonts w:eastAsia="宋体"/>
          <w:color w:val="0070C0"/>
          <w:szCs w:val="24"/>
          <w:highlight w:val="none"/>
          <w:lang w:val="en-US" w:eastAsia="zh-CN"/>
        </w:rPr>
        <w:fldChar w:fldCharType="end"/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]</w:t>
      </w:r>
    </w:p>
    <w:p>
      <w:pPr>
        <w:pStyle w:val="87"/>
        <w:numPr>
          <w:ilvl w:val="0"/>
          <w:numId w:val="2"/>
        </w:numPr>
        <w:spacing w:line="259" w:lineRule="auto"/>
        <w:ind w:left="936"/>
        <w:rPr>
          <w:highlight w:val="none"/>
        </w:rPr>
      </w:pPr>
      <w:r>
        <w:rPr>
          <w:highlight w:val="none"/>
        </w:rPr>
        <w:t>Agreement: Proposal 1 agreed</w:t>
      </w:r>
    </w:p>
    <w:p>
      <w:pPr>
        <w:pStyle w:val="87"/>
        <w:numPr>
          <w:ilvl w:val="1"/>
          <w:numId w:val="2"/>
        </w:numPr>
        <w:spacing w:line="259" w:lineRule="auto"/>
        <w:ind w:left="1656"/>
        <w:rPr>
          <w:highlight w:val="none"/>
        </w:rPr>
      </w:pPr>
      <w:r>
        <w:rPr>
          <w:highlight w:val="none"/>
        </w:rPr>
        <w:t xml:space="preserve">Further check whether FDM operation allowed or not; if allowed, further check any impact on the emission requirements for FDM operation </w:t>
      </w:r>
    </w:p>
    <w:p>
      <w:pPr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b/>
          <w:bCs/>
          <w:iCs/>
          <w:highlight w:val="none"/>
          <w:u w:val="singl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u w:val="single"/>
          <w:lang w:val="en-US"/>
        </w:rPr>
        <w:t>2</w:t>
      </w:r>
      <w:r>
        <w:rPr>
          <w:b/>
          <w:bCs/>
          <w:iCs/>
          <w:highlight w:val="none"/>
          <w:u w:val="single"/>
          <w:lang w:val="en-US"/>
        </w:rPr>
        <w:t>-</w:t>
      </w:r>
      <w:r>
        <w:rPr>
          <w:rFonts w:hint="eastAsia"/>
          <w:b/>
          <w:bCs/>
          <w:iCs/>
          <w:highlight w:val="none"/>
          <w:u w:val="single"/>
          <w:lang w:val="en-US"/>
        </w:rPr>
        <w:t>3</w:t>
      </w:r>
      <w:r>
        <w:rPr>
          <w:b/>
          <w:bCs/>
          <w:iCs/>
          <w:highlight w:val="none"/>
          <w:u w:val="singl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u w:val="single"/>
          <w:lang w:val="en-US"/>
        </w:rPr>
        <w:t>RF requirements for NCR-Fwd type 2-O</w:t>
      </w:r>
    </w:p>
    <w:p>
      <w:pPr>
        <w:pStyle w:val="87"/>
        <w:numPr>
          <w:ilvl w:val="-1"/>
          <w:numId w:val="0"/>
        </w:numPr>
        <w:overflowPunct/>
        <w:autoSpaceDE/>
        <w:autoSpaceDN/>
        <w:adjustRightInd/>
        <w:spacing w:after="120"/>
        <w:ind w:left="0" w:firstLine="0" w:firstLineChars="0"/>
        <w:textAlignment w:val="auto"/>
        <w:rPr>
          <w:rFonts w:eastAsia="宋体"/>
          <w:color w:val="0070C0"/>
          <w:szCs w:val="24"/>
          <w:highlight w:val="none"/>
          <w:lang w:val="en-US" w:eastAsia="zh-CN"/>
        </w:rPr>
      </w:pPr>
      <w:r>
        <w:rPr>
          <w:rFonts w:eastAsia="宋体"/>
          <w:color w:val="0070C0"/>
          <w:szCs w:val="24"/>
          <w:highlight w:val="none"/>
          <w:lang w:eastAsia="zh-CN"/>
        </w:rPr>
        <w:t>Proposals</w:t>
      </w:r>
    </w:p>
    <w:p>
      <w:pPr>
        <w:pStyle w:val="8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Proposal 1: The radiated requirement for repeater 2-O specified in sub-clause 7 of TS 38.106 can be reused for NCR type 2-O Fwd.  [CATT,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"https://www.3gpp.org/ftp/TSG_RAN/WG4_Radio/TSGR4_106bis-e/Docs/R4-2304445.zip" </w:instrText>
      </w:r>
      <w:r>
        <w:rPr>
          <w:highlight w:val="none"/>
        </w:rPr>
        <w:fldChar w:fldCharType="separate"/>
      </w:r>
      <w:r>
        <w:rPr>
          <w:rFonts w:eastAsia="宋体"/>
          <w:color w:val="0070C0"/>
          <w:szCs w:val="24"/>
          <w:highlight w:val="none"/>
          <w:lang w:val="en-US" w:eastAsia="zh-CN"/>
        </w:rPr>
        <w:t>R4-2304445</w:t>
      </w:r>
      <w:r>
        <w:rPr>
          <w:rFonts w:eastAsia="宋体"/>
          <w:color w:val="0070C0"/>
          <w:szCs w:val="24"/>
          <w:highlight w:val="none"/>
          <w:lang w:val="en-US" w:eastAsia="zh-CN"/>
        </w:rPr>
        <w:fldChar w:fldCharType="end"/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]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 Proposal 1 agreed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Further check whether FDM operation allowed or not; if allowed, further check any impact on the emission requirements for FDM operation </w:t>
      </w:r>
    </w:p>
    <w:p>
      <w:pPr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b/>
          <w:bCs/>
          <w:iCs/>
          <w:highlight w:val="none"/>
          <w:u w:val="singl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u w:val="single"/>
          <w:lang w:val="en-US"/>
        </w:rPr>
        <w:t>3</w:t>
      </w:r>
      <w:r>
        <w:rPr>
          <w:b/>
          <w:bCs/>
          <w:iCs/>
          <w:highlight w:val="none"/>
          <w:u w:val="single"/>
          <w:lang w:val="en-US"/>
        </w:rPr>
        <w:t>-</w:t>
      </w:r>
      <w:r>
        <w:rPr>
          <w:rFonts w:hint="eastAsia"/>
          <w:b/>
          <w:bCs/>
          <w:iCs/>
          <w:highlight w:val="none"/>
          <w:u w:val="single"/>
          <w:lang w:val="en-US"/>
        </w:rPr>
        <w:t>1-1</w:t>
      </w:r>
      <w:r>
        <w:rPr>
          <w:b/>
          <w:bCs/>
          <w:iCs/>
          <w:highlight w:val="none"/>
          <w:u w:val="single"/>
          <w:lang w:val="en-US"/>
        </w:rPr>
        <w:t>:</w:t>
      </w:r>
      <w:r>
        <w:rPr>
          <w:rFonts w:hint="eastAsia"/>
          <w:b/>
          <w:bCs/>
          <w:iCs/>
          <w:highlight w:val="none"/>
          <w:u w:val="single"/>
          <w:lang w:val="en-US"/>
        </w:rPr>
        <w:t xml:space="preserve"> Power control for NCR-MT</w:t>
      </w:r>
    </w:p>
    <w:p>
      <w:pPr>
        <w:pStyle w:val="8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>Option 1: to support the NCR-MT power control;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  <w:lang w:val="en-GB"/>
        </w:rPr>
      </w:pPr>
      <w:r>
        <w:rPr>
          <w:highlight w:val="none"/>
        </w:rPr>
        <w:t>Agreement: Option 1 agreed</w:t>
      </w:r>
    </w:p>
    <w:p>
      <w:pPr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b/>
          <w:bCs/>
          <w:iCs/>
          <w:highlight w:val="none"/>
          <w:u w:val="singl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u w:val="single"/>
          <w:lang w:val="en-US"/>
        </w:rPr>
        <w:t>3</w:t>
      </w:r>
      <w:r>
        <w:rPr>
          <w:b/>
          <w:bCs/>
          <w:iCs/>
          <w:highlight w:val="none"/>
          <w:u w:val="single"/>
          <w:lang w:val="en-US"/>
        </w:rPr>
        <w:t>-</w:t>
      </w:r>
      <w:r>
        <w:rPr>
          <w:rFonts w:hint="eastAsia"/>
          <w:b/>
          <w:bCs/>
          <w:iCs/>
          <w:highlight w:val="none"/>
          <w:u w:val="single"/>
          <w:lang w:val="en-US"/>
        </w:rPr>
        <w:t>1-2</w:t>
      </w:r>
      <w:r>
        <w:rPr>
          <w:b/>
          <w:bCs/>
          <w:iCs/>
          <w:highlight w:val="none"/>
          <w:u w:val="singl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u w:val="single"/>
          <w:lang w:val="en-US"/>
        </w:rPr>
        <w:t xml:space="preserve">bandwidth related </w:t>
      </w:r>
    </w:p>
    <w:p>
      <w:pPr>
        <w:pStyle w:val="8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/>
          <w:b/>
          <w:bCs/>
          <w:iCs/>
          <w:highlight w:val="none"/>
          <w:u w:val="single"/>
          <w:lang w:val="en-US"/>
        </w:rPr>
      </w:pPr>
      <w:r>
        <w:rPr>
          <w:rFonts w:hint="eastAsia" w:eastAsia="宋体"/>
          <w:color w:val="0070C0"/>
          <w:szCs w:val="24"/>
          <w:highlight w:val="none"/>
          <w:lang w:eastAsia="zh-CN"/>
        </w:rPr>
        <w:t xml:space="preserve">Proposal 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1</w:t>
      </w:r>
      <w:r>
        <w:rPr>
          <w:rFonts w:hint="eastAsia" w:eastAsia="宋体"/>
          <w:color w:val="0070C0"/>
          <w:szCs w:val="24"/>
          <w:highlight w:val="none"/>
          <w:lang w:eastAsia="zh-CN"/>
        </w:rPr>
        <w:t xml:space="preserve">: 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Proposal 1: Define NCR-MT RF requirements based on carrier/NCR-MT channel bandwidth instead of passband/nominal channel bandwidth. [CATT, R4-2304446]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rFonts w:hint="eastAsia" w:eastAsiaTheme="minorEastAsia"/>
          <w:i w:val="0"/>
          <w:iCs/>
          <w:color w:val="0070C0"/>
          <w:highlight w:val="none"/>
          <w:lang w:val="en-US" w:eastAsia="zh-CN"/>
        </w:rPr>
      </w:pPr>
      <w:r>
        <w:rPr>
          <w:highlight w:val="none"/>
        </w:rPr>
        <w:t>Agreement: Proposal 1 agreed</w:t>
      </w:r>
    </w:p>
    <w:p>
      <w:pPr>
        <w:pStyle w:val="2"/>
        <w:rPr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Agreement for offline GTW discussion</w:t>
      </w:r>
    </w:p>
    <w:p>
      <w:pPr>
        <w:pStyle w:val="77"/>
        <w:spacing w:after="0"/>
        <w:ind w:left="100"/>
        <w:rPr>
          <w:rFonts w:hint="default"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For NCR-Fwd type 1-H:</w:t>
      </w:r>
    </w:p>
    <w:tbl>
      <w:tblPr>
        <w:tblStyle w:val="4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Agreement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42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D7D7D7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RF requirements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atLeast"/>
        </w:trPr>
        <w:tc>
          <w:tcPr>
            <w:tcW w:w="134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Repeater output power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 xml:space="preserve">Agreement: </w:t>
            </w:r>
          </w:p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for DL part: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To follow the option 2;</w:t>
            </w:r>
          </w:p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For UL part: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FFS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134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Frequency stability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 Reuse frequency stability for repeater type 1-C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specified in sub-clause 6.3.2 of TS 38.106.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134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Out of band gain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Reuse out of band gain for repeater type 1-C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specified in sub-clause 6.4.2 of TS 38.106.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42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Adjacent Channel Leakage Power Ratio</w:t>
            </w:r>
          </w:p>
        </w:tc>
        <w:tc>
          <w:tcPr>
            <w:tcW w:w="365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Agreement: Reuse the Rel-17 repeater type 1-C requirements for NCR-Fwd type 1-H and 1-O; [relative value]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for DL absolute ACLR limit, to follwo the option 2 scaling factor agreed for repeater output power;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42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42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Style w:val="161"/>
                <w:rFonts w:eastAsia="等线"/>
                <w:highlight w:val="none"/>
                <w:lang w:val="en-US" w:eastAsia="zh-CN" w:bidi="ar"/>
              </w:rPr>
              <w:t>Operating band unwanted emissions</w:t>
            </w:r>
            <w:r>
              <w:rPr>
                <w:rStyle w:val="162"/>
                <w:rFonts w:eastAsia="等线"/>
                <w:highlight w:val="none"/>
                <w:lang w:val="en-US" w:eastAsia="zh-CN" w:bidi="ar"/>
              </w:rPr>
              <w:t xml:space="preserve"> </w:t>
            </w:r>
          </w:p>
        </w:tc>
        <w:tc>
          <w:tcPr>
            <w:tcW w:w="365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Agreement: reuse operating band unwanted emissions  for repeater type 1-C specified in sub-clauses 6.5.3.2.1 - 6.5.3.2.6 of TS 38.106 as basic limit;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for DL emission power leve,  follow the option 2 scaling factor agreed for repeater output power;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Transmitter spurious emissions</w:t>
            </w:r>
          </w:p>
        </w:tc>
        <w:tc>
          <w:tcPr>
            <w:tcW w:w="365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 xml:space="preserve">Further study on scaling factor for transmitter spurious emission requirement only.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0" w:hRule="atLeast"/>
        </w:trPr>
        <w:tc>
          <w:tcPr>
            <w:tcW w:w="1342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Receiver spurious emissions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Further study on scaling factor for receiver spurious emission requirement only.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Error Vector Magnitude</w:t>
            </w:r>
          </w:p>
        </w:tc>
        <w:tc>
          <w:tcPr>
            <w:tcW w:w="365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Agreement:  To reuse the Rel-17 repeater type 1-C requirement f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or each TAB connector of NCR-Fwd type 1-H;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Input intermodulation</w:t>
            </w:r>
          </w:p>
        </w:tc>
        <w:tc>
          <w:tcPr>
            <w:tcW w:w="365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To reuse the Rel-17 repeater type 1-C requirement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for each TAB connector of NCR-Fwd type 1-H;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Output intermodulation</w:t>
            </w:r>
          </w:p>
        </w:tc>
        <w:tc>
          <w:tcPr>
            <w:tcW w:w="365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To reuse the Rel-17 repeater type 1-C requirement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for each TAB connector of NCR-Fwd type 1-H;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3657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134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Adjacent Channel Rejection Ratio (ACRR)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 Reuse the Rel-17 repeater type 1-C requirements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2" w:hRule="atLeast"/>
        </w:trPr>
        <w:tc>
          <w:tcPr>
            <w:tcW w:w="134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Transmit ON/OFF power and transition period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For NCR-MT and NCR-Fwd switch ON-OFF together, proposed to have further study for it;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 xml:space="preserve">For NCR-MT and NCR-Fwd switch ON-OFF individually, propose to Reuse the Rel-17 repeater type 1-C requirements; </w:t>
            </w:r>
          </w:p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0" w:hRule="atLeast"/>
        </w:trPr>
        <w:tc>
          <w:tcPr>
            <w:tcW w:w="1342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OTA output power(EIRP)</w:t>
            </w:r>
          </w:p>
        </w:tc>
        <w:tc>
          <w:tcPr>
            <w:tcW w:w="3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Define the requirement based on EIRP manufacturer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declaration, with the accuracy of the declared output power value (Prated,p,EIRP).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Reuse the ±2.2dB and ±2.7dB from the BS type 1-H in sub-clause 9.2.2 of TS 38.104  for normal test conditions and extreme test condition, respectively.</w:t>
            </w:r>
          </w:p>
        </w:tc>
      </w:tr>
    </w:tbl>
    <w:p>
      <w:pPr>
        <w:pStyle w:val="77"/>
        <w:spacing w:after="0"/>
        <w:rPr>
          <w:rFonts w:hint="default" w:ascii="Times New Roman" w:hAnsi="Times New Roman"/>
          <w:b/>
          <w:color w:val="0070C0"/>
          <w:highlight w:val="none"/>
          <w:u w:val="single"/>
          <w:lang w:val="en-US" w:eastAsia="zh-CN"/>
        </w:rPr>
      </w:pPr>
    </w:p>
    <w:p>
      <w:pPr>
        <w:pStyle w:val="77"/>
        <w:spacing w:after="0"/>
        <w:ind w:left="100"/>
        <w:rPr>
          <w:rFonts w:hint="default" w:ascii="Times New Roman" w:hAnsi="Times New Roman"/>
          <w:b/>
          <w:color w:val="0070C0"/>
          <w:highlight w:val="none"/>
          <w:u w:val="single"/>
          <w:lang w:val="en-US" w:eastAsia="zh-CN"/>
        </w:rPr>
      </w:pPr>
    </w:p>
    <w:p>
      <w:pPr>
        <w:pStyle w:val="87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pStyle w:val="87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pStyle w:val="77"/>
        <w:spacing w:after="0"/>
        <w:ind w:left="100"/>
        <w:rPr>
          <w:rFonts w:hint="default" w:ascii="Times New Roman" w:hAnsi="Times New Roman"/>
          <w:b/>
          <w:color w:val="0070C0"/>
          <w:highlight w:val="none"/>
          <w:u w:val="single"/>
          <w:lang w:val="en-US" w:eastAsia="zh-CN"/>
        </w:rPr>
      </w:pPr>
      <w:r>
        <w:rPr>
          <w:rFonts w:hint="eastAsia" w:ascii="Times New Roman" w:hAnsi="Times New Roman"/>
          <w:b/>
          <w:color w:val="0070C0"/>
          <w:highlight w:val="none"/>
          <w:u w:val="single"/>
          <w:lang w:val="en-US" w:eastAsia="zh-CN"/>
        </w:rPr>
        <w:t>For NCR-Fwd type 1-O:</w:t>
      </w:r>
    </w:p>
    <w:tbl>
      <w:tblPr>
        <w:tblStyle w:val="4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3"/>
        <w:gridCol w:w="87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Agreement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54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D7D7D7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RF requirements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85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Repeater output power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 xml:space="preserve">Agreement: </w:t>
            </w:r>
          </w:p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for DL part: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To follow the option 2 with 9dB scaling factor;</w:t>
            </w:r>
          </w:p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For UL part: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FFS</w:t>
            </w:r>
          </w:p>
          <w:p>
            <w:pPr>
              <w:rPr>
                <w:rFonts w:hint="eastAsia" w:ascii="等线" w:hAnsi="等线" w:eastAsia="等线" w:cs="等线"/>
                <w:i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Frequency stability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Reuse OTA frequency stability for repeater type 1-C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specified in sub-clause 7.3.2 of TS 38.106.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Out of band gain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1) Reuse the Rel-17 repeater type 1-C requirements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for NCR-Fwd type 1-H and 1-O;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2) define the gain for OOB gain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as the ratio of TRP output power to directional input power in the same manner as for 2-O.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Adjacent Channel Leakage Power Ratio</w:t>
            </w:r>
          </w:p>
        </w:tc>
        <w:tc>
          <w:tcPr>
            <w:tcW w:w="414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1) for relative ACLR value, to reuse the Rel-17 repeater type 1-C requirements for NCR-Fwd type 1-H and 1-O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2) for absolute ACLR limits in the downlink part, to follow the 9dB scaling factor, however for uplink, it's FFS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4145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4145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Style w:val="163"/>
                <w:rFonts w:eastAsia="等线"/>
                <w:highlight w:val="none"/>
                <w:lang w:val="en-US" w:eastAsia="zh-CN" w:bidi="ar"/>
              </w:rPr>
              <w:t>Operating band unwanted emissions</w:t>
            </w:r>
            <w:r>
              <w:rPr>
                <w:rFonts w:ascii="Arial" w:hAnsi="Arial" w:eastAsia="等线" w:cs="Arial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14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Agreement: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for NCR-Fwd downlink OBUE requirement, to follow the 9dB scaling factor, 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for NCR-Fwd uplink OBUE requirement, FFS on the scaling factor;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4145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4145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Transmitter spurious emissions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 xml:space="preserve">Further study on scaling factor for transmitter spurious emission requirement only. </w:t>
            </w:r>
          </w:p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Receiver spurious emissions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87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Further study on scaling factor for receiver spurious emission requirement only.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For receiver spurious emission requirement, we need to wait for the conclusion of type declaration of NCR-MT and NCR-Fwd.</w:t>
            </w:r>
          </w:p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Error Vector Magnitude</w:t>
            </w:r>
          </w:p>
        </w:tc>
        <w:tc>
          <w:tcPr>
            <w:tcW w:w="414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77"/>
              <w:spacing w:after="0"/>
              <w:ind w:left="100"/>
              <w:rPr>
                <w:rFonts w:hint="eastAsia" w:ascii="Times New Roman" w:hAnsi="Times New Roman" w:cs="Times New Roman"/>
                <w:color w:val="0070C0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70C0"/>
                <w:szCs w:val="24"/>
                <w:highlight w:val="none"/>
                <w:lang w:val="en-US" w:eastAsia="zh-CN" w:bidi="ar-SA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Further study</w:t>
            </w:r>
          </w:p>
          <w:p>
            <w:pPr>
              <w:jc w:val="center"/>
              <w:rPr>
                <w:rFonts w:hint="eastAsia" w:ascii="等线" w:hAnsi="等线" w:eastAsia="等线" w:cs="等线"/>
                <w:i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4145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4145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3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Input intermodulation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77"/>
              <w:spacing w:after="0"/>
              <w:ind w:left="100"/>
              <w:rPr>
                <w:rFonts w:hint="eastAsia" w:ascii="Times New Roman" w:hAnsi="Times New Roman" w:cs="Times New Roman"/>
                <w:color w:val="0070C0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70C0"/>
                <w:szCs w:val="24"/>
                <w:highlight w:val="none"/>
                <w:lang w:val="en-US" w:eastAsia="zh-CN" w:bidi="ar-SA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70C0"/>
                <w:szCs w:val="24"/>
                <w:highlight w:val="none"/>
                <w:lang w:val="en-US" w:eastAsia="zh-CN"/>
              </w:rPr>
              <w:t>Further study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color w:val="FF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Output intermodulation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77"/>
              <w:spacing w:after="0"/>
              <w:ind w:left="100"/>
              <w:rPr>
                <w:rFonts w:hint="default" w:ascii="Times New Roman" w:hAnsi="Times New Roman"/>
                <w:b/>
                <w:color w:val="0070C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70C0"/>
                <w:highlight w:val="none"/>
                <w:u w:val="single"/>
                <w:lang w:val="en-US" w:eastAsia="zh-CN"/>
              </w:rPr>
              <w:t>Agreement:</w:t>
            </w:r>
          </w:p>
          <w:p>
            <w:pPr>
              <w:pStyle w:val="8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420" w:leftChars="0" w:hanging="420" w:firstLineChars="0"/>
              <w:textAlignment w:val="auto"/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</w:pPr>
            <w:r>
              <w:rPr>
                <w:rFonts w:hint="default"/>
                <w:color w:val="0070C0"/>
                <w:szCs w:val="24"/>
                <w:highlight w:val="none"/>
                <w:lang w:val="en-US" w:eastAsia="zh-CN"/>
              </w:rPr>
              <w:t>RAN4 should discuss further how to define and apply co-location requirements (for emissions and output intermodulation) considering the complexities of needing both a reference co-location antenna and of supplying a stimulus signal to the repeater.</w:t>
            </w:r>
          </w:p>
          <w:p>
            <w:pP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Adjacent Channel Rejection Ratio (ACRR)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FFS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8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Transmit ON/OFF power and transition period</w:t>
            </w:r>
          </w:p>
        </w:tc>
        <w:tc>
          <w:tcPr>
            <w:tcW w:w="4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FFS</w:t>
            </w:r>
          </w:p>
        </w:tc>
      </w:tr>
    </w:tbl>
    <w:p>
      <w:pPr>
        <w:pStyle w:val="87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pStyle w:val="87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pStyle w:val="87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pStyle w:val="87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pStyle w:val="87"/>
        <w:spacing w:after="120"/>
        <w:ind w:firstLine="0" w:firstLineChars="0"/>
        <w:rPr>
          <w:rFonts w:hint="default" w:eastAsiaTheme="minorEastAsia"/>
          <w:i w:val="0"/>
          <w:iCs/>
          <w:color w:val="0070C0"/>
          <w:highlight w:val="none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8D190"/>
    <w:multiLevelType w:val="singleLevel"/>
    <w:tmpl w:val="3F78D19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A32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3CD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4F57A2"/>
    <w:rsid w:val="0161069F"/>
    <w:rsid w:val="01993F08"/>
    <w:rsid w:val="01A379F7"/>
    <w:rsid w:val="01A56FAB"/>
    <w:rsid w:val="02207A05"/>
    <w:rsid w:val="02224983"/>
    <w:rsid w:val="023114DC"/>
    <w:rsid w:val="029401D0"/>
    <w:rsid w:val="02977181"/>
    <w:rsid w:val="02C75875"/>
    <w:rsid w:val="033676B5"/>
    <w:rsid w:val="034A6FAF"/>
    <w:rsid w:val="0360625D"/>
    <w:rsid w:val="036A4805"/>
    <w:rsid w:val="03A23123"/>
    <w:rsid w:val="03A80371"/>
    <w:rsid w:val="040B2E26"/>
    <w:rsid w:val="04254769"/>
    <w:rsid w:val="04316B23"/>
    <w:rsid w:val="04377C2C"/>
    <w:rsid w:val="04573544"/>
    <w:rsid w:val="04A33028"/>
    <w:rsid w:val="04A8786A"/>
    <w:rsid w:val="04C21305"/>
    <w:rsid w:val="04DF4A9A"/>
    <w:rsid w:val="059237E0"/>
    <w:rsid w:val="05A029CC"/>
    <w:rsid w:val="05D52A67"/>
    <w:rsid w:val="062731F7"/>
    <w:rsid w:val="063467E5"/>
    <w:rsid w:val="065E5991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484DE6"/>
    <w:rsid w:val="084A4093"/>
    <w:rsid w:val="084B4A5F"/>
    <w:rsid w:val="088C71C9"/>
    <w:rsid w:val="090F1D8C"/>
    <w:rsid w:val="096C5763"/>
    <w:rsid w:val="09A07B40"/>
    <w:rsid w:val="09AC4191"/>
    <w:rsid w:val="09C65402"/>
    <w:rsid w:val="0A467BD4"/>
    <w:rsid w:val="0A7A3A6F"/>
    <w:rsid w:val="0A864565"/>
    <w:rsid w:val="0A95119F"/>
    <w:rsid w:val="0AB35C28"/>
    <w:rsid w:val="0AC70E4D"/>
    <w:rsid w:val="0AEB2AFB"/>
    <w:rsid w:val="0B1B407F"/>
    <w:rsid w:val="0B1D3C61"/>
    <w:rsid w:val="0B2A42EA"/>
    <w:rsid w:val="0B861833"/>
    <w:rsid w:val="0BD30B0D"/>
    <w:rsid w:val="0C9639D1"/>
    <w:rsid w:val="0CAA6AC3"/>
    <w:rsid w:val="0CE505BE"/>
    <w:rsid w:val="0CF847CB"/>
    <w:rsid w:val="0D1D6012"/>
    <w:rsid w:val="0D1F5041"/>
    <w:rsid w:val="0D236623"/>
    <w:rsid w:val="0D297B8A"/>
    <w:rsid w:val="0D6D6260"/>
    <w:rsid w:val="0D6F3147"/>
    <w:rsid w:val="0DA4580A"/>
    <w:rsid w:val="0E2479EF"/>
    <w:rsid w:val="0E6526D1"/>
    <w:rsid w:val="0E7C32F1"/>
    <w:rsid w:val="0E9D1F02"/>
    <w:rsid w:val="0F0E2150"/>
    <w:rsid w:val="0F302047"/>
    <w:rsid w:val="0F491372"/>
    <w:rsid w:val="0F6D5FD6"/>
    <w:rsid w:val="0F9A6DFD"/>
    <w:rsid w:val="0FC21761"/>
    <w:rsid w:val="10370C76"/>
    <w:rsid w:val="104B64B7"/>
    <w:rsid w:val="10502D2C"/>
    <w:rsid w:val="108909BA"/>
    <w:rsid w:val="10A9549C"/>
    <w:rsid w:val="114B0315"/>
    <w:rsid w:val="114F50F0"/>
    <w:rsid w:val="11513D9D"/>
    <w:rsid w:val="11A056A8"/>
    <w:rsid w:val="11A669BC"/>
    <w:rsid w:val="11CD4B5D"/>
    <w:rsid w:val="11D55EE2"/>
    <w:rsid w:val="12184B7C"/>
    <w:rsid w:val="12562F4F"/>
    <w:rsid w:val="129A4A8D"/>
    <w:rsid w:val="12A467FF"/>
    <w:rsid w:val="12E62365"/>
    <w:rsid w:val="130F385C"/>
    <w:rsid w:val="131A32F7"/>
    <w:rsid w:val="131D6292"/>
    <w:rsid w:val="13230798"/>
    <w:rsid w:val="13303256"/>
    <w:rsid w:val="133C24A6"/>
    <w:rsid w:val="141C5906"/>
    <w:rsid w:val="142D2518"/>
    <w:rsid w:val="14304C8C"/>
    <w:rsid w:val="14736A3C"/>
    <w:rsid w:val="14774D1A"/>
    <w:rsid w:val="148131EC"/>
    <w:rsid w:val="14A22F12"/>
    <w:rsid w:val="14CA58C0"/>
    <w:rsid w:val="14E9666F"/>
    <w:rsid w:val="15147527"/>
    <w:rsid w:val="155D054E"/>
    <w:rsid w:val="158004EE"/>
    <w:rsid w:val="15906F8D"/>
    <w:rsid w:val="15B6151F"/>
    <w:rsid w:val="15B67958"/>
    <w:rsid w:val="15CC2FF7"/>
    <w:rsid w:val="1638470C"/>
    <w:rsid w:val="16B769EB"/>
    <w:rsid w:val="16EF560B"/>
    <w:rsid w:val="171E4FFA"/>
    <w:rsid w:val="17307051"/>
    <w:rsid w:val="174F626F"/>
    <w:rsid w:val="17637892"/>
    <w:rsid w:val="17794CBF"/>
    <w:rsid w:val="17FF39FF"/>
    <w:rsid w:val="18217321"/>
    <w:rsid w:val="18615A28"/>
    <w:rsid w:val="1886040C"/>
    <w:rsid w:val="18971F6D"/>
    <w:rsid w:val="18B25C57"/>
    <w:rsid w:val="18B451EE"/>
    <w:rsid w:val="18DF34D9"/>
    <w:rsid w:val="18E04972"/>
    <w:rsid w:val="19337DCC"/>
    <w:rsid w:val="1934677A"/>
    <w:rsid w:val="19453C57"/>
    <w:rsid w:val="19D04FD4"/>
    <w:rsid w:val="1AB749BB"/>
    <w:rsid w:val="1AD15F16"/>
    <w:rsid w:val="1AD2083C"/>
    <w:rsid w:val="1AEF678B"/>
    <w:rsid w:val="1B0309BE"/>
    <w:rsid w:val="1B2D79CD"/>
    <w:rsid w:val="1C067DE7"/>
    <w:rsid w:val="1C1127CD"/>
    <w:rsid w:val="1C3C3F27"/>
    <w:rsid w:val="1C91599E"/>
    <w:rsid w:val="1C9408FD"/>
    <w:rsid w:val="1CF47AF1"/>
    <w:rsid w:val="1D1835B6"/>
    <w:rsid w:val="1D32360A"/>
    <w:rsid w:val="1D4C1EE9"/>
    <w:rsid w:val="1D741944"/>
    <w:rsid w:val="1D940B76"/>
    <w:rsid w:val="1D9416B2"/>
    <w:rsid w:val="1E136F82"/>
    <w:rsid w:val="1E140EA0"/>
    <w:rsid w:val="1EBF2BF0"/>
    <w:rsid w:val="1EC919BF"/>
    <w:rsid w:val="1EF01166"/>
    <w:rsid w:val="1F4705C3"/>
    <w:rsid w:val="1F7138F1"/>
    <w:rsid w:val="1F9B19AE"/>
    <w:rsid w:val="1FB73AAB"/>
    <w:rsid w:val="1FF57DEB"/>
    <w:rsid w:val="20153BA1"/>
    <w:rsid w:val="202835A9"/>
    <w:rsid w:val="20501486"/>
    <w:rsid w:val="20891E56"/>
    <w:rsid w:val="20E85DEF"/>
    <w:rsid w:val="211175E1"/>
    <w:rsid w:val="213F0D56"/>
    <w:rsid w:val="2148239E"/>
    <w:rsid w:val="216653B0"/>
    <w:rsid w:val="21864CB6"/>
    <w:rsid w:val="21CE09E9"/>
    <w:rsid w:val="22202406"/>
    <w:rsid w:val="22956388"/>
    <w:rsid w:val="22A1313E"/>
    <w:rsid w:val="22B93021"/>
    <w:rsid w:val="232F532E"/>
    <w:rsid w:val="234931CD"/>
    <w:rsid w:val="23792988"/>
    <w:rsid w:val="238508AF"/>
    <w:rsid w:val="23AF34C4"/>
    <w:rsid w:val="245932E9"/>
    <w:rsid w:val="24931E5E"/>
    <w:rsid w:val="24B5700C"/>
    <w:rsid w:val="24E710A5"/>
    <w:rsid w:val="24FD0C42"/>
    <w:rsid w:val="25001F1C"/>
    <w:rsid w:val="252926B4"/>
    <w:rsid w:val="253B23BF"/>
    <w:rsid w:val="256C6BAD"/>
    <w:rsid w:val="25BB2ED5"/>
    <w:rsid w:val="25E124ED"/>
    <w:rsid w:val="25F5608D"/>
    <w:rsid w:val="26057C0B"/>
    <w:rsid w:val="262A0FC5"/>
    <w:rsid w:val="2660177B"/>
    <w:rsid w:val="267E0B13"/>
    <w:rsid w:val="26D40E72"/>
    <w:rsid w:val="26D57D83"/>
    <w:rsid w:val="27542B52"/>
    <w:rsid w:val="275814A9"/>
    <w:rsid w:val="2758282F"/>
    <w:rsid w:val="2759520B"/>
    <w:rsid w:val="28031259"/>
    <w:rsid w:val="28151B92"/>
    <w:rsid w:val="28C5326F"/>
    <w:rsid w:val="28C74028"/>
    <w:rsid w:val="28DD0F12"/>
    <w:rsid w:val="29782064"/>
    <w:rsid w:val="2979639C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46D45"/>
    <w:rsid w:val="2CD7184A"/>
    <w:rsid w:val="2CD927BC"/>
    <w:rsid w:val="2D5F6EE1"/>
    <w:rsid w:val="2DD85514"/>
    <w:rsid w:val="2DF841EB"/>
    <w:rsid w:val="2E2339D3"/>
    <w:rsid w:val="2E46730F"/>
    <w:rsid w:val="2E5C466B"/>
    <w:rsid w:val="2E643F62"/>
    <w:rsid w:val="2EB86A5A"/>
    <w:rsid w:val="2F27647B"/>
    <w:rsid w:val="2F8B1999"/>
    <w:rsid w:val="2F95455C"/>
    <w:rsid w:val="2FAC2BA9"/>
    <w:rsid w:val="30051F23"/>
    <w:rsid w:val="302442D9"/>
    <w:rsid w:val="303460F0"/>
    <w:rsid w:val="305808D2"/>
    <w:rsid w:val="30624D6B"/>
    <w:rsid w:val="307E7C08"/>
    <w:rsid w:val="30B04189"/>
    <w:rsid w:val="30C72E79"/>
    <w:rsid w:val="310E26EB"/>
    <w:rsid w:val="316C3873"/>
    <w:rsid w:val="31AE0F7B"/>
    <w:rsid w:val="32180641"/>
    <w:rsid w:val="321C4572"/>
    <w:rsid w:val="32D73973"/>
    <w:rsid w:val="32E41A9D"/>
    <w:rsid w:val="32F644CA"/>
    <w:rsid w:val="33024B42"/>
    <w:rsid w:val="331731F7"/>
    <w:rsid w:val="337C596E"/>
    <w:rsid w:val="34166F07"/>
    <w:rsid w:val="34211DC3"/>
    <w:rsid w:val="342A7E04"/>
    <w:rsid w:val="34457C7B"/>
    <w:rsid w:val="34562BD9"/>
    <w:rsid w:val="349011AD"/>
    <w:rsid w:val="34B7420A"/>
    <w:rsid w:val="34E838FF"/>
    <w:rsid w:val="35012C3B"/>
    <w:rsid w:val="352A26C6"/>
    <w:rsid w:val="359927A7"/>
    <w:rsid w:val="35CE36F4"/>
    <w:rsid w:val="36425C10"/>
    <w:rsid w:val="36545850"/>
    <w:rsid w:val="365509D9"/>
    <w:rsid w:val="36C86B4B"/>
    <w:rsid w:val="36D929B3"/>
    <w:rsid w:val="36E376B5"/>
    <w:rsid w:val="36E54FE5"/>
    <w:rsid w:val="372825BF"/>
    <w:rsid w:val="374851A2"/>
    <w:rsid w:val="37547BED"/>
    <w:rsid w:val="37A56745"/>
    <w:rsid w:val="37CB439B"/>
    <w:rsid w:val="37D94BB5"/>
    <w:rsid w:val="380106D8"/>
    <w:rsid w:val="38114253"/>
    <w:rsid w:val="38201F58"/>
    <w:rsid w:val="382152E9"/>
    <w:rsid w:val="382372A5"/>
    <w:rsid w:val="38524008"/>
    <w:rsid w:val="38B516B5"/>
    <w:rsid w:val="38E40EC7"/>
    <w:rsid w:val="38E46EE6"/>
    <w:rsid w:val="392A2EEE"/>
    <w:rsid w:val="397B2105"/>
    <w:rsid w:val="39992131"/>
    <w:rsid w:val="399D0C47"/>
    <w:rsid w:val="39C27A74"/>
    <w:rsid w:val="39F76E63"/>
    <w:rsid w:val="3A064B74"/>
    <w:rsid w:val="3A141F6C"/>
    <w:rsid w:val="3A165225"/>
    <w:rsid w:val="3A3A37F9"/>
    <w:rsid w:val="3A7C2502"/>
    <w:rsid w:val="3A875FDF"/>
    <w:rsid w:val="3AA052FB"/>
    <w:rsid w:val="3B0F4575"/>
    <w:rsid w:val="3B375142"/>
    <w:rsid w:val="3B447DC6"/>
    <w:rsid w:val="3BA50EFF"/>
    <w:rsid w:val="3BC64A35"/>
    <w:rsid w:val="3BEC12F8"/>
    <w:rsid w:val="3C3571D4"/>
    <w:rsid w:val="3C7D3028"/>
    <w:rsid w:val="3C916A88"/>
    <w:rsid w:val="3CA95CFB"/>
    <w:rsid w:val="3CCF6E23"/>
    <w:rsid w:val="3D2C3BFB"/>
    <w:rsid w:val="3D604A2D"/>
    <w:rsid w:val="3D636270"/>
    <w:rsid w:val="3D895406"/>
    <w:rsid w:val="3D946AC2"/>
    <w:rsid w:val="3DBD54A7"/>
    <w:rsid w:val="3DD526CA"/>
    <w:rsid w:val="3E217D33"/>
    <w:rsid w:val="3E4003D1"/>
    <w:rsid w:val="3E6574CD"/>
    <w:rsid w:val="3F3A5985"/>
    <w:rsid w:val="3F483164"/>
    <w:rsid w:val="3F5B2C54"/>
    <w:rsid w:val="401B2443"/>
    <w:rsid w:val="408C5231"/>
    <w:rsid w:val="410913DA"/>
    <w:rsid w:val="41542A12"/>
    <w:rsid w:val="41877659"/>
    <w:rsid w:val="41940949"/>
    <w:rsid w:val="41A85070"/>
    <w:rsid w:val="41CB7CA6"/>
    <w:rsid w:val="41D506BB"/>
    <w:rsid w:val="41EF7F1F"/>
    <w:rsid w:val="423C4AAA"/>
    <w:rsid w:val="42AB5722"/>
    <w:rsid w:val="42D55508"/>
    <w:rsid w:val="42DC39FA"/>
    <w:rsid w:val="43205793"/>
    <w:rsid w:val="4321075F"/>
    <w:rsid w:val="4335357A"/>
    <w:rsid w:val="43551367"/>
    <w:rsid w:val="43D47DA0"/>
    <w:rsid w:val="43F438D8"/>
    <w:rsid w:val="44302DF3"/>
    <w:rsid w:val="447D0C67"/>
    <w:rsid w:val="44B40D3D"/>
    <w:rsid w:val="450B6A79"/>
    <w:rsid w:val="453B25F9"/>
    <w:rsid w:val="45B17F93"/>
    <w:rsid w:val="45DA3853"/>
    <w:rsid w:val="45FA07D0"/>
    <w:rsid w:val="46242613"/>
    <w:rsid w:val="467D52CE"/>
    <w:rsid w:val="46917266"/>
    <w:rsid w:val="46A95BF4"/>
    <w:rsid w:val="47082F49"/>
    <w:rsid w:val="476B14FD"/>
    <w:rsid w:val="4782783F"/>
    <w:rsid w:val="47AA2DD2"/>
    <w:rsid w:val="47C81885"/>
    <w:rsid w:val="480238E5"/>
    <w:rsid w:val="48297809"/>
    <w:rsid w:val="482E5EC0"/>
    <w:rsid w:val="486A7EDB"/>
    <w:rsid w:val="48873377"/>
    <w:rsid w:val="48C418DE"/>
    <w:rsid w:val="48FE69A5"/>
    <w:rsid w:val="49235152"/>
    <w:rsid w:val="4930333B"/>
    <w:rsid w:val="49570114"/>
    <w:rsid w:val="49724F29"/>
    <w:rsid w:val="49934D61"/>
    <w:rsid w:val="4A7172F6"/>
    <w:rsid w:val="4B085909"/>
    <w:rsid w:val="4B991985"/>
    <w:rsid w:val="4B9C56DF"/>
    <w:rsid w:val="4BB12379"/>
    <w:rsid w:val="4BF837D2"/>
    <w:rsid w:val="4C401BFB"/>
    <w:rsid w:val="4C470E37"/>
    <w:rsid w:val="4CB04572"/>
    <w:rsid w:val="4CC40142"/>
    <w:rsid w:val="4CEA793E"/>
    <w:rsid w:val="4D0B415B"/>
    <w:rsid w:val="4D384C5E"/>
    <w:rsid w:val="4D3A3368"/>
    <w:rsid w:val="4D661BD9"/>
    <w:rsid w:val="4D710FD3"/>
    <w:rsid w:val="4DCD2113"/>
    <w:rsid w:val="4DF23AA7"/>
    <w:rsid w:val="4E0706ED"/>
    <w:rsid w:val="4E0B7D64"/>
    <w:rsid w:val="4E3C6CFA"/>
    <w:rsid w:val="4E527AE5"/>
    <w:rsid w:val="4E6B49BA"/>
    <w:rsid w:val="4EB57F2A"/>
    <w:rsid w:val="4EF21D55"/>
    <w:rsid w:val="4F441E2A"/>
    <w:rsid w:val="4F4C641E"/>
    <w:rsid w:val="4F545121"/>
    <w:rsid w:val="4F742231"/>
    <w:rsid w:val="4F85712F"/>
    <w:rsid w:val="4F9B779E"/>
    <w:rsid w:val="4FA10E05"/>
    <w:rsid w:val="50121FCC"/>
    <w:rsid w:val="5037224D"/>
    <w:rsid w:val="50912F82"/>
    <w:rsid w:val="50C962CB"/>
    <w:rsid w:val="50D40D95"/>
    <w:rsid w:val="51091670"/>
    <w:rsid w:val="5140604B"/>
    <w:rsid w:val="51832F88"/>
    <w:rsid w:val="518F5CDD"/>
    <w:rsid w:val="51DD0D57"/>
    <w:rsid w:val="51DE4D9F"/>
    <w:rsid w:val="521238CB"/>
    <w:rsid w:val="52954685"/>
    <w:rsid w:val="52A60C1E"/>
    <w:rsid w:val="53517A6B"/>
    <w:rsid w:val="53956DC5"/>
    <w:rsid w:val="53A03BFA"/>
    <w:rsid w:val="53A52556"/>
    <w:rsid w:val="53A96824"/>
    <w:rsid w:val="543B0A67"/>
    <w:rsid w:val="54550F10"/>
    <w:rsid w:val="54A605D4"/>
    <w:rsid w:val="54D6764B"/>
    <w:rsid w:val="54F01EEF"/>
    <w:rsid w:val="55163E5B"/>
    <w:rsid w:val="55305CFC"/>
    <w:rsid w:val="55387FCD"/>
    <w:rsid w:val="555966F0"/>
    <w:rsid w:val="55940B01"/>
    <w:rsid w:val="55BF6693"/>
    <w:rsid w:val="562B6CEE"/>
    <w:rsid w:val="568E6375"/>
    <w:rsid w:val="56BC1ECE"/>
    <w:rsid w:val="571269E1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753BF2"/>
    <w:rsid w:val="599A3124"/>
    <w:rsid w:val="59B465EC"/>
    <w:rsid w:val="59C50A90"/>
    <w:rsid w:val="59DE7EC2"/>
    <w:rsid w:val="5A081611"/>
    <w:rsid w:val="5A7B667C"/>
    <w:rsid w:val="5A7D256E"/>
    <w:rsid w:val="5A9C15E1"/>
    <w:rsid w:val="5AB318EC"/>
    <w:rsid w:val="5AC752CD"/>
    <w:rsid w:val="5B412EC5"/>
    <w:rsid w:val="5B446EDF"/>
    <w:rsid w:val="5B460263"/>
    <w:rsid w:val="5B4756A4"/>
    <w:rsid w:val="5B99776A"/>
    <w:rsid w:val="5BA306B6"/>
    <w:rsid w:val="5C5A50A9"/>
    <w:rsid w:val="5CA21F53"/>
    <w:rsid w:val="5D166FA1"/>
    <w:rsid w:val="5D64614D"/>
    <w:rsid w:val="5D6F0A1C"/>
    <w:rsid w:val="5D765ADA"/>
    <w:rsid w:val="5EB05FB0"/>
    <w:rsid w:val="5ED955F8"/>
    <w:rsid w:val="5F317902"/>
    <w:rsid w:val="5F645C40"/>
    <w:rsid w:val="5F880C20"/>
    <w:rsid w:val="5F952EAD"/>
    <w:rsid w:val="6018714A"/>
    <w:rsid w:val="60627D00"/>
    <w:rsid w:val="6077058D"/>
    <w:rsid w:val="608D1FBB"/>
    <w:rsid w:val="60D661AE"/>
    <w:rsid w:val="614B0980"/>
    <w:rsid w:val="61B665C4"/>
    <w:rsid w:val="62126D0E"/>
    <w:rsid w:val="624108BA"/>
    <w:rsid w:val="62F31145"/>
    <w:rsid w:val="63A709CE"/>
    <w:rsid w:val="63AC0B80"/>
    <w:rsid w:val="64097ADA"/>
    <w:rsid w:val="640D4579"/>
    <w:rsid w:val="641A6450"/>
    <w:rsid w:val="641E03D0"/>
    <w:rsid w:val="645A59DA"/>
    <w:rsid w:val="64CF06E4"/>
    <w:rsid w:val="64F1679F"/>
    <w:rsid w:val="6535386A"/>
    <w:rsid w:val="656E1EA5"/>
    <w:rsid w:val="664E69A6"/>
    <w:rsid w:val="66741821"/>
    <w:rsid w:val="66A41C30"/>
    <w:rsid w:val="66C70B21"/>
    <w:rsid w:val="672107F2"/>
    <w:rsid w:val="67BC160E"/>
    <w:rsid w:val="67D25888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917BED"/>
    <w:rsid w:val="69A57B59"/>
    <w:rsid w:val="69EF54FA"/>
    <w:rsid w:val="6A841B52"/>
    <w:rsid w:val="6A872892"/>
    <w:rsid w:val="6AC64296"/>
    <w:rsid w:val="6B0C191D"/>
    <w:rsid w:val="6B1113EA"/>
    <w:rsid w:val="6B291AC2"/>
    <w:rsid w:val="6B367AF6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E54B6"/>
    <w:rsid w:val="6DBB2DC6"/>
    <w:rsid w:val="6E201B68"/>
    <w:rsid w:val="6E410EBD"/>
    <w:rsid w:val="6E675472"/>
    <w:rsid w:val="6E7B4B6C"/>
    <w:rsid w:val="6EBA4107"/>
    <w:rsid w:val="6ECD588F"/>
    <w:rsid w:val="6F0A3EB4"/>
    <w:rsid w:val="6F21030C"/>
    <w:rsid w:val="6F8D2E83"/>
    <w:rsid w:val="6F9F7359"/>
    <w:rsid w:val="6FCF0067"/>
    <w:rsid w:val="70025C90"/>
    <w:rsid w:val="70326F3D"/>
    <w:rsid w:val="704903B8"/>
    <w:rsid w:val="70C608BE"/>
    <w:rsid w:val="70CC14B7"/>
    <w:rsid w:val="70E529B8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33A2A28"/>
    <w:rsid w:val="74373659"/>
    <w:rsid w:val="74453431"/>
    <w:rsid w:val="74600BBC"/>
    <w:rsid w:val="74710270"/>
    <w:rsid w:val="7480655E"/>
    <w:rsid w:val="74B963D7"/>
    <w:rsid w:val="74E96256"/>
    <w:rsid w:val="74F875E4"/>
    <w:rsid w:val="753246A3"/>
    <w:rsid w:val="75532172"/>
    <w:rsid w:val="756537CF"/>
    <w:rsid w:val="756C3574"/>
    <w:rsid w:val="75A04E0F"/>
    <w:rsid w:val="75BD0535"/>
    <w:rsid w:val="75E43616"/>
    <w:rsid w:val="760D3446"/>
    <w:rsid w:val="76237E13"/>
    <w:rsid w:val="763C35C2"/>
    <w:rsid w:val="76816645"/>
    <w:rsid w:val="76843750"/>
    <w:rsid w:val="76913F70"/>
    <w:rsid w:val="7697287F"/>
    <w:rsid w:val="769C6AD1"/>
    <w:rsid w:val="76C41143"/>
    <w:rsid w:val="771C1592"/>
    <w:rsid w:val="774F4848"/>
    <w:rsid w:val="778575B4"/>
    <w:rsid w:val="7797669F"/>
    <w:rsid w:val="77C07083"/>
    <w:rsid w:val="77D671B1"/>
    <w:rsid w:val="77EE7694"/>
    <w:rsid w:val="781900CE"/>
    <w:rsid w:val="784A24C1"/>
    <w:rsid w:val="7867307F"/>
    <w:rsid w:val="78881741"/>
    <w:rsid w:val="78A70FCA"/>
    <w:rsid w:val="78BD65FB"/>
    <w:rsid w:val="78C90760"/>
    <w:rsid w:val="78D93A8B"/>
    <w:rsid w:val="79261FD4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777780"/>
    <w:rsid w:val="7A7B737F"/>
    <w:rsid w:val="7A9A10AC"/>
    <w:rsid w:val="7A9A1912"/>
    <w:rsid w:val="7AB358CA"/>
    <w:rsid w:val="7AC85B9A"/>
    <w:rsid w:val="7B154E9F"/>
    <w:rsid w:val="7B7F6994"/>
    <w:rsid w:val="7B9E0993"/>
    <w:rsid w:val="7BF12B0C"/>
    <w:rsid w:val="7C070D8B"/>
    <w:rsid w:val="7C1B749B"/>
    <w:rsid w:val="7C2777C4"/>
    <w:rsid w:val="7C294ED3"/>
    <w:rsid w:val="7C563D48"/>
    <w:rsid w:val="7C915B97"/>
    <w:rsid w:val="7CF746F0"/>
    <w:rsid w:val="7D190D9F"/>
    <w:rsid w:val="7D417001"/>
    <w:rsid w:val="7D7A6B81"/>
    <w:rsid w:val="7D8037CA"/>
    <w:rsid w:val="7E122E21"/>
    <w:rsid w:val="7E592FC9"/>
    <w:rsid w:val="7E5C3A73"/>
    <w:rsid w:val="7E6D5667"/>
    <w:rsid w:val="7EDE6FA8"/>
    <w:rsid w:val="7EDF6B91"/>
    <w:rsid w:val="7EE7105C"/>
    <w:rsid w:val="7EFE6536"/>
    <w:rsid w:val="7F4D0A32"/>
    <w:rsid w:val="7F651FC5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9">
    <w:name w:val="font01"/>
    <w:basedOn w:val="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0">
    <w:name w:val="font21"/>
    <w:basedOn w:val="51"/>
    <w:qFormat/>
    <w:uiPriority w:val="0"/>
    <w:rPr>
      <w:rFonts w:hint="eastAsia" w:ascii="等线" w:hAnsi="等线" w:eastAsia="等线" w:cs="等线"/>
      <w:color w:val="FF0000"/>
      <w:sz w:val="22"/>
      <w:szCs w:val="22"/>
      <w:u w:val="none"/>
    </w:rPr>
  </w:style>
  <w:style w:type="character" w:customStyle="1" w:styleId="161">
    <w:name w:val="font31"/>
    <w:basedOn w:val="51"/>
    <w:qFormat/>
    <w:uiPriority w:val="0"/>
    <w:rPr>
      <w:rFonts w:hint="default" w:ascii="Times New Roman" w:hAnsi="Times New Roman" w:cs="Times New Roman"/>
      <w:b/>
      <w:color w:val="000000"/>
      <w:sz w:val="30"/>
      <w:szCs w:val="30"/>
      <w:u w:val="none"/>
    </w:rPr>
  </w:style>
  <w:style w:type="character" w:customStyle="1" w:styleId="162">
    <w:name w:val="font11"/>
    <w:basedOn w:val="51"/>
    <w:qFormat/>
    <w:uiPriority w:val="0"/>
    <w:rPr>
      <w:rFonts w:ascii="Arial" w:hAnsi="Arial" w:cs="Arial"/>
      <w:b/>
      <w:color w:val="000000"/>
      <w:sz w:val="30"/>
      <w:szCs w:val="30"/>
      <w:u w:val="none"/>
    </w:rPr>
  </w:style>
  <w:style w:type="character" w:customStyle="1" w:styleId="163">
    <w:name w:val="font41"/>
    <w:basedOn w:val="51"/>
    <w:qFormat/>
    <w:uiPriority w:val="0"/>
    <w:rPr>
      <w:rFonts w:hint="default" w:ascii="Times New Roman" w:hAnsi="Times New Roman" w:cs="Times New Roman"/>
      <w:b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2023-04-25T16:36:23Z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